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31" w:rsidRDefault="000D0A31" w:rsidP="000D0A31">
      <w:pPr>
        <w:rPr>
          <w:rFonts w:cs="Arial"/>
          <w:sz w:val="22"/>
        </w:rPr>
      </w:pPr>
      <w:r>
        <w:rPr>
          <w:rFonts w:cs="Arial"/>
          <w:noProof/>
          <w:sz w:val="22"/>
          <w:lang w:eastAsia="en-GB"/>
        </w:rPr>
        <w:drawing>
          <wp:inline distT="0" distB="0" distL="0" distR="0">
            <wp:extent cx="5731510" cy="641680"/>
            <wp:effectExtent l="0" t="0" r="2540" b="6350"/>
            <wp:docPr id="1" name="Picture 1" descr="C:\Users\dvwmh\Desktop\INET16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wmh\Desktop\INET162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31" w:rsidRPr="00DF3E89" w:rsidRDefault="000D0A31" w:rsidP="000D0A31">
      <w:pPr>
        <w:rPr>
          <w:rFonts w:cs="Arial"/>
          <w:sz w:val="22"/>
        </w:rPr>
      </w:pPr>
      <w:r w:rsidRPr="00DF3E89">
        <w:rPr>
          <w:rFonts w:cs="Arial"/>
          <w:sz w:val="22"/>
        </w:rPr>
        <w:t xml:space="preserve">As part of its role as a Lead Local Flood Authority, Norfolk County Council has prepared a draft Local Flood Risk Management Strategy. We are now seeking your feedback on the draft strategy so that we can incorporate your comments. Consultation is </w:t>
      </w:r>
      <w:r w:rsidR="00253D5D">
        <w:rPr>
          <w:rFonts w:cs="Arial"/>
          <w:sz w:val="22"/>
        </w:rPr>
        <w:t>taking place between 13</w:t>
      </w:r>
      <w:r w:rsidRPr="00DF3E89">
        <w:rPr>
          <w:rFonts w:cs="Arial"/>
          <w:sz w:val="22"/>
        </w:rPr>
        <w:t xml:space="preserve"> April and the 25 May 2015.</w:t>
      </w:r>
    </w:p>
    <w:p w:rsidR="000D0A31" w:rsidRPr="00DF3E89" w:rsidRDefault="000D0A31" w:rsidP="000D0A31">
      <w:pPr>
        <w:rPr>
          <w:rFonts w:cs="Arial"/>
          <w:sz w:val="22"/>
        </w:rPr>
      </w:pPr>
      <w:r w:rsidRPr="00DF3E89">
        <w:rPr>
          <w:rFonts w:cs="Arial"/>
          <w:sz w:val="22"/>
        </w:rPr>
        <w:t xml:space="preserve">The draft strategy and all associated documents are now available on the Flood and Water section of the council’s website: </w:t>
      </w:r>
    </w:p>
    <w:p w:rsidR="000D0A31" w:rsidRPr="00DF3E89" w:rsidRDefault="000D0A31" w:rsidP="000D0A31">
      <w:pPr>
        <w:rPr>
          <w:rFonts w:cs="Arial"/>
          <w:sz w:val="22"/>
        </w:rPr>
      </w:pPr>
      <w:r w:rsidRPr="00DF3E89">
        <w:rPr>
          <w:rFonts w:cs="Arial"/>
          <w:sz w:val="22"/>
        </w:rPr>
        <w:t>You are invited to give your feedback in this form on the content of the strategy.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36"/>
      </w:tblGrid>
      <w:tr w:rsidR="000D0A31" w:rsidRPr="001729FC" w:rsidTr="00B665DC">
        <w:trPr>
          <w:trHeight w:val="567"/>
        </w:trPr>
        <w:tc>
          <w:tcPr>
            <w:tcW w:w="3828" w:type="dxa"/>
          </w:tcPr>
          <w:p w:rsidR="000D0A31" w:rsidRPr="001729FC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  <w:r w:rsidRPr="001729FC">
              <w:rPr>
                <w:rFonts w:cs="Arial"/>
                <w:b/>
                <w:color w:val="000000"/>
                <w:sz w:val="22"/>
              </w:rPr>
              <w:t>Name</w:t>
            </w:r>
            <w:r>
              <w:rPr>
                <w:rFonts w:cs="Arial"/>
                <w:b/>
                <w:color w:val="000000"/>
                <w:sz w:val="22"/>
              </w:rPr>
              <w:t>:</w:t>
            </w:r>
            <w:r w:rsidRPr="001729FC">
              <w:rPr>
                <w:rFonts w:cs="Arial"/>
                <w:b/>
                <w:color w:val="000000"/>
                <w:sz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</w:rPr>
              <w:t xml:space="preserve">(or District, Borough, </w:t>
            </w:r>
            <w:r w:rsidR="000F74F4">
              <w:rPr>
                <w:rFonts w:cs="Arial"/>
                <w:b/>
                <w:color w:val="000000"/>
                <w:sz w:val="22"/>
              </w:rPr>
              <w:t xml:space="preserve">City, </w:t>
            </w:r>
            <w:r w:rsidRPr="001729FC">
              <w:rPr>
                <w:rFonts w:cs="Arial"/>
                <w:b/>
                <w:color w:val="000000"/>
                <w:sz w:val="22"/>
              </w:rPr>
              <w:t>Parish Counci</w:t>
            </w:r>
            <w:r>
              <w:rPr>
                <w:rFonts w:cs="Arial"/>
                <w:b/>
                <w:color w:val="000000"/>
                <w:sz w:val="22"/>
              </w:rPr>
              <w:t xml:space="preserve">l, </w:t>
            </w:r>
            <w:r w:rsidRPr="001729FC">
              <w:rPr>
                <w:rFonts w:cs="Arial"/>
                <w:b/>
                <w:color w:val="000000"/>
                <w:sz w:val="22"/>
              </w:rPr>
              <w:t xml:space="preserve">Organisation, </w:t>
            </w:r>
            <w:proofErr w:type="spellStart"/>
            <w:r w:rsidRPr="001729FC">
              <w:rPr>
                <w:rFonts w:cs="Arial"/>
                <w:b/>
                <w:color w:val="000000"/>
                <w:sz w:val="22"/>
              </w:rPr>
              <w:t>etc</w:t>
            </w:r>
            <w:proofErr w:type="spellEnd"/>
            <w:r>
              <w:rPr>
                <w:rFonts w:cs="Arial"/>
                <w:b/>
                <w:color w:val="000000"/>
                <w:sz w:val="22"/>
              </w:rPr>
              <w:t>)</w:t>
            </w:r>
          </w:p>
        </w:tc>
        <w:tc>
          <w:tcPr>
            <w:tcW w:w="5636" w:type="dxa"/>
          </w:tcPr>
          <w:p w:rsidR="000D0A31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</w:p>
          <w:p w:rsidR="000D0A31" w:rsidRPr="001729FC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</w:p>
        </w:tc>
      </w:tr>
      <w:tr w:rsidR="000D0A31" w:rsidRPr="001729FC" w:rsidTr="00B665DC">
        <w:tc>
          <w:tcPr>
            <w:tcW w:w="3828" w:type="dxa"/>
          </w:tcPr>
          <w:p w:rsidR="000D0A31" w:rsidRPr="001729FC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  <w:r w:rsidRPr="001729FC">
              <w:rPr>
                <w:rFonts w:cs="Arial"/>
                <w:b/>
                <w:color w:val="000000"/>
                <w:sz w:val="22"/>
              </w:rPr>
              <w:t>Contact Name</w:t>
            </w:r>
            <w:r>
              <w:rPr>
                <w:rFonts w:cs="Arial"/>
                <w:b/>
                <w:color w:val="000000"/>
                <w:sz w:val="22"/>
              </w:rPr>
              <w:t>:</w:t>
            </w:r>
          </w:p>
        </w:tc>
        <w:tc>
          <w:tcPr>
            <w:tcW w:w="5636" w:type="dxa"/>
          </w:tcPr>
          <w:p w:rsidR="000D0A31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</w:p>
          <w:p w:rsidR="000D0A31" w:rsidRPr="001729FC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</w:p>
        </w:tc>
      </w:tr>
      <w:tr w:rsidR="000D0A31" w:rsidRPr="001729FC" w:rsidTr="00B665DC">
        <w:tc>
          <w:tcPr>
            <w:tcW w:w="3828" w:type="dxa"/>
          </w:tcPr>
          <w:p w:rsidR="000D0A31" w:rsidRPr="001729FC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  <w:r w:rsidRPr="001729FC">
              <w:rPr>
                <w:rFonts w:cs="Arial"/>
                <w:b/>
                <w:color w:val="000000"/>
                <w:sz w:val="22"/>
              </w:rPr>
              <w:t>Telephone Number</w:t>
            </w:r>
            <w:r>
              <w:rPr>
                <w:rFonts w:cs="Arial"/>
                <w:b/>
                <w:color w:val="000000"/>
                <w:sz w:val="22"/>
              </w:rPr>
              <w:t>:</w:t>
            </w:r>
          </w:p>
        </w:tc>
        <w:tc>
          <w:tcPr>
            <w:tcW w:w="5636" w:type="dxa"/>
          </w:tcPr>
          <w:p w:rsidR="000D0A31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</w:p>
          <w:p w:rsidR="000D0A31" w:rsidRPr="001729FC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</w:p>
        </w:tc>
      </w:tr>
      <w:tr w:rsidR="000D0A31" w:rsidRPr="001729FC" w:rsidTr="00B665DC">
        <w:tc>
          <w:tcPr>
            <w:tcW w:w="3828" w:type="dxa"/>
          </w:tcPr>
          <w:p w:rsidR="000D0A31" w:rsidRPr="001729FC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  <w:r w:rsidRPr="001729FC">
              <w:rPr>
                <w:rFonts w:cs="Arial"/>
                <w:b/>
                <w:color w:val="000000"/>
                <w:sz w:val="22"/>
              </w:rPr>
              <w:t>Email</w:t>
            </w:r>
            <w:r>
              <w:rPr>
                <w:rFonts w:cs="Arial"/>
                <w:b/>
                <w:color w:val="000000"/>
                <w:sz w:val="22"/>
              </w:rPr>
              <w:t>:</w:t>
            </w:r>
          </w:p>
        </w:tc>
        <w:tc>
          <w:tcPr>
            <w:tcW w:w="5636" w:type="dxa"/>
          </w:tcPr>
          <w:p w:rsidR="000D0A31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</w:p>
          <w:p w:rsidR="000D0A31" w:rsidRPr="001729FC" w:rsidRDefault="000D0A31" w:rsidP="00B665DC">
            <w:pPr>
              <w:spacing w:before="100" w:beforeAutospacing="1" w:after="100" w:afterAutospacing="1"/>
              <w:rPr>
                <w:rFonts w:cs="Arial"/>
                <w:b/>
                <w:color w:val="000000"/>
                <w:sz w:val="22"/>
              </w:rPr>
            </w:pPr>
          </w:p>
        </w:tc>
      </w:tr>
    </w:tbl>
    <w:p w:rsidR="00FB409C" w:rsidRDefault="00FB409C" w:rsidP="00FB409C">
      <w:pPr>
        <w:pStyle w:val="NoSpacing"/>
        <w:rPr>
          <w:szCs w:val="24"/>
        </w:rPr>
      </w:pPr>
    </w:p>
    <w:p w:rsidR="002B1D29" w:rsidRDefault="002B1D29" w:rsidP="00FB409C">
      <w:pPr>
        <w:pStyle w:val="NoSpacing"/>
        <w:rPr>
          <w:szCs w:val="24"/>
        </w:rPr>
      </w:pPr>
      <w:r w:rsidRPr="002B1D29">
        <w:rPr>
          <w:szCs w:val="24"/>
        </w:rPr>
        <w:t>If you do not wish your name or organisation to be identified in any published material, please indicate this by checking the box below.</w:t>
      </w:r>
    </w:p>
    <w:p w:rsidR="002B1D29" w:rsidRDefault="002B1D29" w:rsidP="00FB409C">
      <w:pPr>
        <w:pStyle w:val="NoSpacing"/>
        <w:rPr>
          <w:szCs w:val="24"/>
        </w:rPr>
      </w:pPr>
    </w:p>
    <w:p w:rsidR="002B1D29" w:rsidRDefault="002B1D29" w:rsidP="002B1D29">
      <w:pPr>
        <w:pStyle w:val="NoSpacing"/>
        <w:ind w:left="709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33020</wp:posOffset>
                </wp:positionV>
                <wp:extent cx="260350" cy="2603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.5pt;margin-top:2.6pt;width:20.5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" fillcolor="white [3201]" strokecolor="black [3200]" strokeweight="2pt"/>
            </w:pict>
          </mc:Fallback>
        </mc:AlternateContent>
      </w:r>
      <w:r w:rsidRPr="002B1D29">
        <w:rPr>
          <w:szCs w:val="24"/>
        </w:rPr>
        <w:t>I do not wish my name or organisation to be identified in any published material</w:t>
      </w:r>
    </w:p>
    <w:p w:rsidR="00E310D5" w:rsidRDefault="00E310D5" w:rsidP="00BB63C6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  <w:szCs w:val="24"/>
        </w:rPr>
      </w:pPr>
    </w:p>
    <w:p w:rsidR="002B1D29" w:rsidRDefault="002B1D29" w:rsidP="00BB63C6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938"/>
      </w:tblGrid>
      <w:tr w:rsidR="00DC0A09" w:rsidRPr="00DF3E89" w:rsidTr="00BF0D6A">
        <w:trPr>
          <w:cantSplit/>
          <w:trHeight w:val="407"/>
        </w:trPr>
        <w:tc>
          <w:tcPr>
            <w:tcW w:w="9464" w:type="dxa"/>
            <w:gridSpan w:val="2"/>
          </w:tcPr>
          <w:p w:rsidR="00DC0A09" w:rsidRPr="00DF3E89" w:rsidRDefault="00DC0A09" w:rsidP="00DC0A09">
            <w:pPr>
              <w:pStyle w:val="NoSpacing"/>
              <w:rPr>
                <w:b/>
                <w:sz w:val="22"/>
              </w:rPr>
            </w:pPr>
            <w:r w:rsidRPr="00DF3E89">
              <w:rPr>
                <w:b/>
                <w:sz w:val="22"/>
              </w:rPr>
              <w:t>Flooding and Flood Risk Management (Refer to Part 1, pages 5-29 of the Strategy)</w:t>
            </w:r>
          </w:p>
          <w:p w:rsidR="00DC0A09" w:rsidRPr="00DF3E89" w:rsidRDefault="00DC0A09" w:rsidP="00DC0A09">
            <w:pPr>
              <w:pStyle w:val="NoSpacing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641A91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1: </w:t>
            </w:r>
          </w:p>
        </w:tc>
        <w:tc>
          <w:tcPr>
            <w:tcW w:w="7938" w:type="dxa"/>
            <w:tcBorders>
              <w:left w:val="nil"/>
            </w:tcBorders>
          </w:tcPr>
          <w:p w:rsidR="00DC0A09" w:rsidRPr="00DF3E89" w:rsidRDefault="00DC0A09" w:rsidP="00DC0A09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Does the strategy make clear what the sources of flood risk are?</w:t>
            </w:r>
          </w:p>
          <w:p w:rsidR="00DC0A09" w:rsidRPr="00DF3E89" w:rsidRDefault="00DC0A09" w:rsidP="00DC0A09">
            <w:pPr>
              <w:pStyle w:val="NoSpacing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2: </w:t>
            </w:r>
          </w:p>
        </w:tc>
        <w:tc>
          <w:tcPr>
            <w:tcW w:w="7938" w:type="dxa"/>
            <w:tcBorders>
              <w:left w:val="nil"/>
            </w:tcBorders>
          </w:tcPr>
          <w:p w:rsidR="00DC0A09" w:rsidRPr="00DF3E89" w:rsidRDefault="00DC0A09" w:rsidP="00DC0A09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Does the strategy make clear what flood risk management is?</w:t>
            </w:r>
          </w:p>
          <w:p w:rsidR="00DC0A09" w:rsidRPr="00DF3E89" w:rsidRDefault="00DC0A09" w:rsidP="00DC0A09">
            <w:pPr>
              <w:pStyle w:val="NoSpacing"/>
              <w:ind w:left="72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3: </w:t>
            </w:r>
          </w:p>
        </w:tc>
        <w:tc>
          <w:tcPr>
            <w:tcW w:w="7938" w:type="dxa"/>
            <w:tcBorders>
              <w:left w:val="nil"/>
            </w:tcBorders>
          </w:tcPr>
          <w:p w:rsidR="00DC0A09" w:rsidRPr="00DF3E89" w:rsidRDefault="00DC0A09" w:rsidP="00DC0A09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 xml:space="preserve">Are the roles and responsibilities of the risk management authorities clearly defined in the strategy? </w:t>
            </w:r>
          </w:p>
          <w:p w:rsidR="00DC0A09" w:rsidRPr="00DF3E89" w:rsidRDefault="00DC0A09" w:rsidP="00DC0A09">
            <w:pPr>
              <w:pStyle w:val="NoSpacing"/>
              <w:rPr>
                <w:rFonts w:cs="Arial"/>
                <w:bCs/>
                <w:sz w:val="22"/>
              </w:rPr>
            </w:pPr>
          </w:p>
        </w:tc>
      </w:tr>
      <w:tr w:rsidR="002B1D29" w:rsidRPr="00DF3E89" w:rsidTr="002971F6">
        <w:trPr>
          <w:cantSplit/>
          <w:trHeight w:val="407"/>
        </w:trPr>
        <w:tc>
          <w:tcPr>
            <w:tcW w:w="9464" w:type="dxa"/>
            <w:gridSpan w:val="2"/>
          </w:tcPr>
          <w:p w:rsidR="002B1D29" w:rsidRPr="00DF3E89" w:rsidRDefault="002B1D29" w:rsidP="00DC0A09">
            <w:pPr>
              <w:pStyle w:val="NoSpacing"/>
              <w:rPr>
                <w:sz w:val="22"/>
              </w:rPr>
            </w:pPr>
          </w:p>
          <w:p w:rsidR="002B1D29" w:rsidRPr="00DF3E89" w:rsidRDefault="002B1D29" w:rsidP="00DC0A09">
            <w:pPr>
              <w:pStyle w:val="NoSpacing"/>
              <w:rPr>
                <w:sz w:val="22"/>
              </w:rPr>
            </w:pPr>
          </w:p>
          <w:p w:rsidR="002B1D29" w:rsidRPr="00DF3E89" w:rsidRDefault="002B1D29" w:rsidP="00DC0A09">
            <w:pPr>
              <w:pStyle w:val="NoSpacing"/>
              <w:rPr>
                <w:sz w:val="22"/>
              </w:rPr>
            </w:pPr>
          </w:p>
          <w:p w:rsidR="002B1D29" w:rsidRPr="00DF3E89" w:rsidRDefault="002B1D29" w:rsidP="00DC0A09">
            <w:pPr>
              <w:pStyle w:val="NoSpacing"/>
              <w:rPr>
                <w:sz w:val="22"/>
              </w:rPr>
            </w:pPr>
          </w:p>
          <w:p w:rsidR="002B1D29" w:rsidRPr="00DF3E89" w:rsidRDefault="002B1D29" w:rsidP="00DC0A09">
            <w:pPr>
              <w:pStyle w:val="NoSpacing"/>
              <w:rPr>
                <w:sz w:val="22"/>
              </w:rPr>
            </w:pPr>
          </w:p>
        </w:tc>
      </w:tr>
      <w:tr w:rsidR="00DC0A09" w:rsidRPr="00DF3E89" w:rsidTr="00DC0A09">
        <w:trPr>
          <w:cantSplit/>
          <w:trHeight w:val="630"/>
        </w:trPr>
        <w:tc>
          <w:tcPr>
            <w:tcW w:w="9464" w:type="dxa"/>
            <w:gridSpan w:val="2"/>
          </w:tcPr>
          <w:p w:rsidR="00E310D5" w:rsidRPr="00DF3E89" w:rsidRDefault="00E310D5" w:rsidP="00DC0A09">
            <w:pPr>
              <w:pStyle w:val="NoSpacing"/>
              <w:rPr>
                <w:b/>
                <w:sz w:val="22"/>
              </w:rPr>
            </w:pPr>
          </w:p>
          <w:p w:rsidR="00DC0A09" w:rsidRPr="00DF3E89" w:rsidRDefault="00DC0A09" w:rsidP="00DC0A09">
            <w:pPr>
              <w:pStyle w:val="NoSpacing"/>
              <w:rPr>
                <w:b/>
                <w:sz w:val="22"/>
              </w:rPr>
            </w:pPr>
            <w:r w:rsidRPr="00DF3E89">
              <w:rPr>
                <w:b/>
                <w:sz w:val="22"/>
              </w:rPr>
              <w:t>Flood Risk in Norfolk (Refer to Part 2, pages 30-102 of the Strategy)</w:t>
            </w:r>
          </w:p>
          <w:p w:rsidR="00DC0A09" w:rsidRPr="00DF3E89" w:rsidRDefault="00DC0A09" w:rsidP="00E310D5">
            <w:pPr>
              <w:pStyle w:val="NoSpacing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4: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pStyle w:val="NoSpacing"/>
              <w:rPr>
                <w:rFonts w:cs="Arial"/>
                <w:bCs/>
                <w:sz w:val="22"/>
              </w:rPr>
            </w:pPr>
            <w:r w:rsidRPr="00DF3E89">
              <w:rPr>
                <w:sz w:val="22"/>
              </w:rPr>
              <w:t>Does the strategy provide a good overview of local flood risk in Norfolk?</w:t>
            </w: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5: </w:t>
            </w:r>
          </w:p>
        </w:tc>
        <w:tc>
          <w:tcPr>
            <w:tcW w:w="7938" w:type="dxa"/>
            <w:tcBorders>
              <w:left w:val="nil"/>
            </w:tcBorders>
          </w:tcPr>
          <w:p w:rsidR="00DC0A09" w:rsidRPr="00DF3E89" w:rsidRDefault="00E310D5" w:rsidP="00E310D5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Is the highlighting of flood risk at a district level effective in communicating local flood risk?</w:t>
            </w:r>
          </w:p>
          <w:p w:rsidR="00E310D5" w:rsidRPr="00DF3E89" w:rsidRDefault="00E310D5" w:rsidP="00E310D5">
            <w:pPr>
              <w:pStyle w:val="NoSpacing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6: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Do you</w:t>
            </w:r>
            <w:r w:rsidR="00860651">
              <w:rPr>
                <w:sz w:val="22"/>
              </w:rPr>
              <w:t xml:space="preserve"> feel there is anything in the Flood R</w:t>
            </w:r>
            <w:r w:rsidRPr="00DF3E89">
              <w:rPr>
                <w:sz w:val="22"/>
              </w:rPr>
              <w:t>isk in Norfolk section which requires amending or needs to be added?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2B1D29" w:rsidRPr="00DF3E89" w:rsidTr="002B3A76">
        <w:trPr>
          <w:cantSplit/>
          <w:trHeight w:val="407"/>
        </w:trPr>
        <w:tc>
          <w:tcPr>
            <w:tcW w:w="9464" w:type="dxa"/>
            <w:gridSpan w:val="2"/>
          </w:tcPr>
          <w:p w:rsidR="002B1D29" w:rsidRPr="00DF3E89" w:rsidRDefault="002B1D29" w:rsidP="00E310D5">
            <w:pPr>
              <w:pStyle w:val="NoSpacing"/>
              <w:rPr>
                <w:sz w:val="22"/>
              </w:rPr>
            </w:pPr>
          </w:p>
          <w:p w:rsidR="002B1D29" w:rsidRPr="00DF3E89" w:rsidRDefault="002B1D29" w:rsidP="00E310D5">
            <w:pPr>
              <w:pStyle w:val="NoSpacing"/>
              <w:rPr>
                <w:sz w:val="22"/>
              </w:rPr>
            </w:pPr>
          </w:p>
          <w:p w:rsidR="002B1D29" w:rsidRPr="00DF3E89" w:rsidRDefault="002B1D29" w:rsidP="00E310D5">
            <w:pPr>
              <w:pStyle w:val="NoSpacing"/>
              <w:rPr>
                <w:sz w:val="22"/>
              </w:rPr>
            </w:pPr>
          </w:p>
          <w:p w:rsidR="002B1D29" w:rsidRPr="00DF3E89" w:rsidRDefault="002B1D29" w:rsidP="00E310D5">
            <w:pPr>
              <w:pStyle w:val="NoSpacing"/>
              <w:rPr>
                <w:sz w:val="22"/>
              </w:rPr>
            </w:pPr>
          </w:p>
          <w:p w:rsidR="002B1D29" w:rsidRPr="00DF3E89" w:rsidRDefault="002B1D29" w:rsidP="00E310D5">
            <w:pPr>
              <w:pStyle w:val="NoSpacing"/>
              <w:rPr>
                <w:sz w:val="22"/>
              </w:rPr>
            </w:pPr>
          </w:p>
        </w:tc>
      </w:tr>
      <w:tr w:rsidR="00DC0A09" w:rsidRPr="00DF3E89" w:rsidTr="00E310D5">
        <w:trPr>
          <w:cantSplit/>
          <w:trHeight w:val="912"/>
        </w:trPr>
        <w:tc>
          <w:tcPr>
            <w:tcW w:w="9464" w:type="dxa"/>
            <w:gridSpan w:val="2"/>
          </w:tcPr>
          <w:p w:rsidR="00E310D5" w:rsidRPr="00DF3E89" w:rsidRDefault="00E310D5" w:rsidP="00E310D5">
            <w:pPr>
              <w:pStyle w:val="NoSpacing"/>
              <w:rPr>
                <w:b/>
                <w:sz w:val="22"/>
              </w:rPr>
            </w:pPr>
          </w:p>
          <w:p w:rsidR="00DC0A09" w:rsidRPr="00DF3E89" w:rsidRDefault="00E310D5" w:rsidP="00E310D5">
            <w:pPr>
              <w:pStyle w:val="NoSpacing"/>
              <w:rPr>
                <w:b/>
                <w:sz w:val="22"/>
              </w:rPr>
            </w:pPr>
            <w:r w:rsidRPr="00DF3E89">
              <w:rPr>
                <w:b/>
                <w:sz w:val="22"/>
              </w:rPr>
              <w:t>Objectives and Policies (Refer to Part 3, pages 103-133 of the Strategy)</w:t>
            </w: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7: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Are the objectives of the strategy clearly defined?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8: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Are the policies of the strategy relevant and appropriate?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9: </w:t>
            </w:r>
          </w:p>
        </w:tc>
        <w:tc>
          <w:tcPr>
            <w:tcW w:w="7938" w:type="dxa"/>
            <w:tcBorders>
              <w:left w:val="nil"/>
            </w:tcBorders>
          </w:tcPr>
          <w:p w:rsidR="00DC0A09" w:rsidRPr="00DF3E89" w:rsidRDefault="00E310D5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  <w:r w:rsidRPr="00DF3E89">
              <w:rPr>
                <w:sz w:val="22"/>
              </w:rPr>
              <w:t>Are there any other objectives or policies that should be included?</w:t>
            </w: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lastRenderedPageBreak/>
              <w:t xml:space="preserve">Question 10: </w:t>
            </w:r>
          </w:p>
        </w:tc>
        <w:tc>
          <w:tcPr>
            <w:tcW w:w="7938" w:type="dxa"/>
            <w:tcBorders>
              <w:left w:val="nil"/>
            </w:tcBorders>
          </w:tcPr>
          <w:p w:rsidR="00DC0A09" w:rsidRPr="00DF3E89" w:rsidRDefault="00E310D5" w:rsidP="00E310D5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Do you feel there is anything in the objectives or policies section which requires amending or needs to be added?</w:t>
            </w:r>
          </w:p>
          <w:p w:rsidR="00E310D5" w:rsidRPr="00DF3E89" w:rsidRDefault="00E310D5" w:rsidP="00E310D5">
            <w:pPr>
              <w:pStyle w:val="NoSpacing"/>
              <w:rPr>
                <w:sz w:val="22"/>
              </w:rPr>
            </w:pPr>
          </w:p>
          <w:p w:rsidR="00E310D5" w:rsidRPr="00DF3E89" w:rsidRDefault="00E310D5" w:rsidP="00E310D5">
            <w:pPr>
              <w:pStyle w:val="NoSpacing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E310D5">
        <w:trPr>
          <w:cantSplit/>
          <w:trHeight w:val="587"/>
        </w:trPr>
        <w:tc>
          <w:tcPr>
            <w:tcW w:w="9464" w:type="dxa"/>
            <w:gridSpan w:val="2"/>
          </w:tcPr>
          <w:p w:rsidR="00E310D5" w:rsidRPr="00DF3E89" w:rsidRDefault="00E310D5" w:rsidP="00E310D5">
            <w:pPr>
              <w:pStyle w:val="NoSpacing"/>
              <w:rPr>
                <w:b/>
                <w:sz w:val="22"/>
              </w:rPr>
            </w:pPr>
          </w:p>
          <w:p w:rsidR="00E310D5" w:rsidRPr="00DF3E89" w:rsidRDefault="00E310D5" w:rsidP="00E310D5">
            <w:pPr>
              <w:pStyle w:val="NoSpacing"/>
              <w:rPr>
                <w:b/>
                <w:sz w:val="22"/>
              </w:rPr>
            </w:pPr>
          </w:p>
          <w:p w:rsidR="00E310D5" w:rsidRPr="00DF3E89" w:rsidRDefault="00E310D5" w:rsidP="00E310D5">
            <w:pPr>
              <w:pStyle w:val="NoSpacing"/>
              <w:rPr>
                <w:b/>
                <w:sz w:val="22"/>
              </w:rPr>
            </w:pPr>
          </w:p>
          <w:p w:rsidR="00E310D5" w:rsidRPr="00DF3E89" w:rsidRDefault="00E310D5" w:rsidP="00E310D5">
            <w:pPr>
              <w:pStyle w:val="NoSpacing"/>
              <w:rPr>
                <w:b/>
                <w:sz w:val="22"/>
              </w:rPr>
            </w:pPr>
          </w:p>
          <w:p w:rsidR="00E310D5" w:rsidRPr="00DF3E89" w:rsidRDefault="00E310D5" w:rsidP="00E310D5">
            <w:pPr>
              <w:pStyle w:val="NoSpacing"/>
              <w:rPr>
                <w:rFonts w:cs="Arial"/>
                <w:bCs/>
                <w:sz w:val="22"/>
              </w:rPr>
            </w:pPr>
          </w:p>
        </w:tc>
      </w:tr>
      <w:tr w:rsidR="00E310D5" w:rsidRPr="00DF3E89" w:rsidTr="00E310D5">
        <w:trPr>
          <w:cantSplit/>
          <w:trHeight w:val="278"/>
        </w:trPr>
        <w:tc>
          <w:tcPr>
            <w:tcW w:w="9464" w:type="dxa"/>
            <w:gridSpan w:val="2"/>
          </w:tcPr>
          <w:p w:rsidR="00E310D5" w:rsidRPr="00DF3E89" w:rsidRDefault="00E310D5" w:rsidP="00E310D5">
            <w:pPr>
              <w:pStyle w:val="NoSpacing"/>
              <w:rPr>
                <w:sz w:val="22"/>
              </w:rPr>
            </w:pPr>
          </w:p>
          <w:p w:rsidR="00E310D5" w:rsidRPr="00DF3E89" w:rsidRDefault="00E310D5" w:rsidP="00B665D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F3E89">
              <w:rPr>
                <w:b/>
                <w:sz w:val="22"/>
              </w:rPr>
              <w:t>Measures and Funding (Refer to Part 4, pages 134-157 of the Strategy)</w:t>
            </w: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11: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pStyle w:val="NoSpacing"/>
              <w:rPr>
                <w:rFonts w:ascii="Helvetica" w:hAnsi="Helvetica" w:cs="Helvetica"/>
                <w:sz w:val="22"/>
              </w:rPr>
            </w:pPr>
            <w:r w:rsidRPr="00DF3E89">
              <w:rPr>
                <w:rFonts w:ascii="Helvetica" w:hAnsi="Helvetica" w:cs="Helvetica"/>
                <w:sz w:val="22"/>
              </w:rPr>
              <w:t>Is it clear what the Strategy means by measures?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12: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pStyle w:val="NoSpacing"/>
              <w:rPr>
                <w:rFonts w:ascii="Helvetica" w:hAnsi="Helvetica" w:cs="Helvetica"/>
                <w:sz w:val="22"/>
              </w:rPr>
            </w:pPr>
            <w:r w:rsidRPr="00DF3E89">
              <w:rPr>
                <w:rFonts w:ascii="Helvetica" w:hAnsi="Helvetica" w:cs="Helvetica"/>
                <w:sz w:val="22"/>
              </w:rPr>
              <w:t xml:space="preserve">Is it clear what funding mechanisms and priorities affect the funding of measures within the </w:t>
            </w:r>
            <w:r w:rsidR="00860651">
              <w:rPr>
                <w:rFonts w:ascii="Helvetica" w:hAnsi="Helvetica" w:cs="Helvetica"/>
                <w:sz w:val="22"/>
              </w:rPr>
              <w:t>S</w:t>
            </w:r>
            <w:r w:rsidRPr="00DF3E89">
              <w:rPr>
                <w:rFonts w:ascii="Helvetica" w:hAnsi="Helvetica" w:cs="Helvetica"/>
                <w:sz w:val="22"/>
              </w:rPr>
              <w:t>trategy?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13: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860651" w:rsidP="00E310D5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Is it clear what measures the S</w:t>
            </w:r>
            <w:r w:rsidR="00E310D5" w:rsidRPr="00DF3E89">
              <w:rPr>
                <w:rFonts w:ascii="Helvetica" w:hAnsi="Helvetica" w:cs="Helvetica"/>
                <w:sz w:val="22"/>
              </w:rPr>
              <w:t xml:space="preserve">trategy proposes to deliver over the next six years and how these would be funded? 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14: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keepNext/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What other measures could the County Council include to address </w:t>
            </w:r>
            <w:r w:rsidR="00860651">
              <w:rPr>
                <w:rFonts w:cs="Arial"/>
                <w:bCs/>
                <w:sz w:val="22"/>
              </w:rPr>
              <w:t xml:space="preserve">local </w:t>
            </w:r>
            <w:r w:rsidRPr="00DF3E89">
              <w:rPr>
                <w:rFonts w:cs="Arial"/>
                <w:bCs/>
                <w:sz w:val="22"/>
              </w:rPr>
              <w:t>flood risk in Norfolk?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15: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spacing w:after="0"/>
              <w:rPr>
                <w:sz w:val="22"/>
              </w:rPr>
            </w:pPr>
            <w:r w:rsidRPr="00DF3E89">
              <w:rPr>
                <w:sz w:val="22"/>
              </w:rPr>
              <w:t>Do you agree with the proposed timeframes for reviews of the strategy?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lastRenderedPageBreak/>
              <w:t xml:space="preserve">Question 16: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spacing w:after="0"/>
              <w:rPr>
                <w:sz w:val="22"/>
              </w:rPr>
            </w:pPr>
            <w:r w:rsidRPr="00DF3E89">
              <w:rPr>
                <w:sz w:val="22"/>
              </w:rPr>
              <w:t>Do you agree with the principle of annually reviewing this part of the strategy?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17: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Do you feel there is anything in the measures and funding section which requires amending or needs to be added?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18: </w:t>
            </w:r>
          </w:p>
        </w:tc>
        <w:tc>
          <w:tcPr>
            <w:tcW w:w="7938" w:type="dxa"/>
            <w:tcBorders>
              <w:left w:val="nil"/>
            </w:tcBorders>
          </w:tcPr>
          <w:p w:rsidR="00E310D5" w:rsidRPr="00DF3E89" w:rsidRDefault="00E310D5" w:rsidP="00E310D5">
            <w:pPr>
              <w:pStyle w:val="NoSpacing"/>
              <w:rPr>
                <w:sz w:val="22"/>
              </w:rPr>
            </w:pPr>
            <w:r w:rsidRPr="00DF3E89">
              <w:rPr>
                <w:sz w:val="22"/>
              </w:rPr>
              <w:t>Do you agree with the monitoring and implementation regime set out in Table 13 of the Strategy (Page 146)</w:t>
            </w:r>
          </w:p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407"/>
        </w:trPr>
        <w:tc>
          <w:tcPr>
            <w:tcW w:w="1526" w:type="dxa"/>
            <w:tcBorders>
              <w:right w:val="nil"/>
            </w:tcBorders>
          </w:tcPr>
          <w:p w:rsidR="00DC0A09" w:rsidRPr="00DF3E89" w:rsidRDefault="00DC0A09" w:rsidP="00B665DC">
            <w:pPr>
              <w:keepNext/>
              <w:autoSpaceDE w:val="0"/>
              <w:autoSpaceDN w:val="0"/>
              <w:adjustRightInd w:val="0"/>
              <w:ind w:left="1276" w:hanging="1276"/>
              <w:rPr>
                <w:rFonts w:cs="Arial"/>
                <w:bCs/>
                <w:sz w:val="22"/>
              </w:rPr>
            </w:pPr>
            <w:r w:rsidRPr="00DF3E89">
              <w:rPr>
                <w:rFonts w:cs="Arial"/>
                <w:bCs/>
                <w:sz w:val="22"/>
              </w:rPr>
              <w:t xml:space="preserve">Question 19: </w:t>
            </w:r>
          </w:p>
        </w:tc>
        <w:tc>
          <w:tcPr>
            <w:tcW w:w="7938" w:type="dxa"/>
            <w:tcBorders>
              <w:left w:val="nil"/>
            </w:tcBorders>
          </w:tcPr>
          <w:p w:rsidR="00DC0A09" w:rsidRPr="00DF3E89" w:rsidRDefault="00860651" w:rsidP="00E310D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Does the S</w:t>
            </w:r>
            <w:r w:rsidR="00E310D5" w:rsidRPr="00DF3E89">
              <w:rPr>
                <w:sz w:val="22"/>
              </w:rPr>
              <w:t>trategy provide a clear direction on how the County Council intends to manage local flood risk?</w:t>
            </w:r>
          </w:p>
          <w:p w:rsidR="00E310D5" w:rsidRPr="00DF3E89" w:rsidRDefault="00E310D5" w:rsidP="00E310D5">
            <w:pPr>
              <w:pStyle w:val="NoSpacing"/>
              <w:rPr>
                <w:rFonts w:cs="Arial"/>
                <w:bCs/>
                <w:sz w:val="22"/>
              </w:rPr>
            </w:pPr>
          </w:p>
        </w:tc>
      </w:tr>
      <w:tr w:rsidR="00DC0A09" w:rsidRPr="00DF3E89" w:rsidTr="00B665DC">
        <w:trPr>
          <w:cantSplit/>
          <w:trHeight w:val="1418"/>
        </w:trPr>
        <w:tc>
          <w:tcPr>
            <w:tcW w:w="9464" w:type="dxa"/>
            <w:gridSpan w:val="2"/>
          </w:tcPr>
          <w:p w:rsidR="00DC0A09" w:rsidRPr="00DF3E89" w:rsidRDefault="00DC0A09" w:rsidP="00B665D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</w:tc>
      </w:tr>
    </w:tbl>
    <w:p w:rsidR="00DF3E89" w:rsidRDefault="00DF3E89" w:rsidP="00E310D5">
      <w:pPr>
        <w:pStyle w:val="NoSpacing"/>
        <w:rPr>
          <w:sz w:val="22"/>
        </w:rPr>
      </w:pPr>
    </w:p>
    <w:p w:rsidR="00E310D5" w:rsidRPr="00DF3E89" w:rsidRDefault="00E310D5" w:rsidP="00E310D5">
      <w:pPr>
        <w:pStyle w:val="NoSpacing"/>
        <w:rPr>
          <w:rFonts w:ascii="Helvetica" w:hAnsi="Helvetica" w:cs="Helvetica"/>
          <w:sz w:val="22"/>
        </w:rPr>
      </w:pPr>
      <w:r w:rsidRPr="00DF3E89">
        <w:rPr>
          <w:sz w:val="22"/>
        </w:rPr>
        <w:t>P</w:t>
      </w:r>
      <w:r w:rsidRPr="00DF3E89">
        <w:rPr>
          <w:rFonts w:ascii="Helvetica" w:hAnsi="Helvetica" w:cs="Helvetica"/>
          <w:sz w:val="22"/>
        </w:rPr>
        <w:t>lease provide any additional comments</w:t>
      </w:r>
      <w:r w:rsidR="002B1D29">
        <w:rPr>
          <w:rFonts w:ascii="Helvetica" w:hAnsi="Helvetica" w:cs="Helvetica"/>
          <w:sz w:val="22"/>
        </w:rPr>
        <w:t xml:space="preserve"> on the draft strategy or any of its accompanying documentation</w:t>
      </w:r>
      <w:r w:rsidRPr="00DF3E89">
        <w:rPr>
          <w:rFonts w:ascii="Helvetica" w:hAnsi="Helvetica" w:cs="Helvetica"/>
          <w:sz w:val="22"/>
        </w:rPr>
        <w:t>:</w:t>
      </w:r>
    </w:p>
    <w:p w:rsidR="00E310D5" w:rsidRPr="00DF3E89" w:rsidRDefault="00E310D5" w:rsidP="00E310D5">
      <w:pPr>
        <w:pStyle w:val="NoSpacing"/>
        <w:rPr>
          <w:rFonts w:ascii="Helvetica" w:hAnsi="Helvetica" w:cs="Helvetica"/>
          <w:sz w:val="22"/>
        </w:rPr>
      </w:pPr>
      <w:r w:rsidRPr="00DF3E89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7EAA9" wp14:editId="76E237D9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5943600" cy="838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D5" w:rsidRDefault="00E310D5" w:rsidP="00E31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9.9pt;width:46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">
                <v:textbox>
                  <w:txbxContent>
                    <w:p w:rsidR="00E310D5" w:rsidRDefault="00E310D5" w:rsidP="00E310D5"/>
                  </w:txbxContent>
                </v:textbox>
              </v:shape>
            </w:pict>
          </mc:Fallback>
        </mc:AlternateContent>
      </w:r>
    </w:p>
    <w:p w:rsidR="00E310D5" w:rsidRPr="00DF3E89" w:rsidRDefault="00E310D5" w:rsidP="00E310D5">
      <w:pPr>
        <w:pStyle w:val="NoSpacing"/>
        <w:rPr>
          <w:rFonts w:ascii="Helvetica" w:hAnsi="Helvetica" w:cs="Helvetica"/>
          <w:sz w:val="22"/>
        </w:rPr>
      </w:pPr>
    </w:p>
    <w:p w:rsidR="00E310D5" w:rsidRPr="00DF3E89" w:rsidRDefault="00E310D5" w:rsidP="00E310D5">
      <w:pPr>
        <w:pStyle w:val="NoSpacing"/>
        <w:rPr>
          <w:rFonts w:ascii="Helvetica" w:hAnsi="Helvetica" w:cs="Helvetica"/>
          <w:sz w:val="22"/>
        </w:rPr>
      </w:pPr>
    </w:p>
    <w:p w:rsidR="00DC0A09" w:rsidRPr="00DF3E89" w:rsidRDefault="00DC0A09" w:rsidP="00DC0A09">
      <w:pPr>
        <w:shd w:val="solid" w:color="FFFFFF" w:fill="FFFFFF"/>
        <w:rPr>
          <w:rFonts w:cs="Arial"/>
          <w:b/>
          <w:sz w:val="22"/>
        </w:rPr>
      </w:pPr>
    </w:p>
    <w:p w:rsidR="00E310D5" w:rsidRPr="00DF3E89" w:rsidRDefault="00E310D5" w:rsidP="00DC0A09">
      <w:pPr>
        <w:shd w:val="solid" w:color="FFFFFF" w:fill="FFFFFF"/>
        <w:rPr>
          <w:rFonts w:cs="Arial"/>
          <w:b/>
          <w:sz w:val="22"/>
        </w:rPr>
      </w:pPr>
    </w:p>
    <w:p w:rsidR="00E310D5" w:rsidRPr="00DF3E89" w:rsidRDefault="00E310D5" w:rsidP="00E310D5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  <w:sz w:val="22"/>
        </w:rPr>
      </w:pPr>
      <w:r w:rsidRPr="00DF3E89">
        <w:rPr>
          <w:rFonts w:ascii="Helvetica" w:hAnsi="Helvetica" w:cs="Helvetica"/>
          <w:b/>
          <w:color w:val="000000"/>
          <w:sz w:val="22"/>
        </w:rPr>
        <w:t>Period of Consultation</w:t>
      </w:r>
    </w:p>
    <w:p w:rsidR="00E310D5" w:rsidRPr="00DF3E89" w:rsidRDefault="00E310D5" w:rsidP="00E310D5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2"/>
        </w:rPr>
      </w:pPr>
    </w:p>
    <w:p w:rsidR="00E310D5" w:rsidRPr="00DF3E89" w:rsidRDefault="00E310D5" w:rsidP="00E310D5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2"/>
        </w:rPr>
      </w:pPr>
      <w:r w:rsidRPr="00DF3E89">
        <w:rPr>
          <w:rFonts w:ascii="Helvetica" w:hAnsi="Helvetica" w:cs="Helvetica"/>
          <w:color w:val="000000"/>
          <w:sz w:val="22"/>
        </w:rPr>
        <w:t xml:space="preserve">Please ensure the County Council receives your views by 5pm on Monday </w:t>
      </w:r>
      <w:r w:rsidR="00860651">
        <w:rPr>
          <w:rFonts w:ascii="Helvetica" w:hAnsi="Helvetica" w:cs="Helvetica"/>
          <w:color w:val="000000"/>
          <w:sz w:val="22"/>
        </w:rPr>
        <w:t xml:space="preserve">25 </w:t>
      </w:r>
      <w:r w:rsidRPr="00DF3E89">
        <w:rPr>
          <w:rFonts w:ascii="Helvetica" w:hAnsi="Helvetica" w:cs="Helvetica"/>
          <w:color w:val="000000"/>
          <w:sz w:val="22"/>
        </w:rPr>
        <w:t>May 2015.</w:t>
      </w:r>
    </w:p>
    <w:p w:rsidR="00E310D5" w:rsidRPr="00DF3E89" w:rsidRDefault="00E310D5" w:rsidP="00E310D5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2"/>
        </w:rPr>
      </w:pPr>
      <w:r w:rsidRPr="00DF3E89">
        <w:rPr>
          <w:rFonts w:ascii="Helvetica" w:hAnsi="Helvetica" w:cs="Helvetica"/>
          <w:color w:val="000000"/>
          <w:sz w:val="22"/>
        </w:rPr>
        <w:t>Post or email your responses for the attention of:</w:t>
      </w:r>
    </w:p>
    <w:p w:rsidR="00E310D5" w:rsidRPr="00DF3E89" w:rsidRDefault="00E310D5" w:rsidP="00E310D5">
      <w:pPr>
        <w:pStyle w:val="NoSpacing"/>
        <w:rPr>
          <w:rFonts w:cs="Arial"/>
          <w:sz w:val="22"/>
        </w:rPr>
      </w:pPr>
    </w:p>
    <w:p w:rsidR="00E310D5" w:rsidRDefault="00E310D5" w:rsidP="00E310D5">
      <w:pPr>
        <w:pStyle w:val="NoSpacing"/>
        <w:rPr>
          <w:rFonts w:cs="Arial"/>
          <w:sz w:val="22"/>
        </w:rPr>
      </w:pPr>
      <w:r w:rsidRPr="00DF3E89">
        <w:rPr>
          <w:rFonts w:cs="Arial"/>
          <w:sz w:val="22"/>
        </w:rPr>
        <w:tab/>
        <w:t>The Flood &amp; Water Management Team</w:t>
      </w:r>
    </w:p>
    <w:p w:rsidR="003657D0" w:rsidRPr="00DF3E89" w:rsidRDefault="003657D0" w:rsidP="003657D0">
      <w:pPr>
        <w:pStyle w:val="NoSpacing"/>
        <w:ind w:firstLine="720"/>
        <w:rPr>
          <w:rFonts w:cs="Arial"/>
          <w:sz w:val="22"/>
        </w:rPr>
      </w:pPr>
      <w:r>
        <w:rPr>
          <w:rFonts w:cs="Arial"/>
          <w:sz w:val="22"/>
        </w:rPr>
        <w:t>Norfolk County Council</w:t>
      </w:r>
    </w:p>
    <w:p w:rsidR="00BE4A2E" w:rsidRDefault="00E310D5" w:rsidP="00BE4A2E">
      <w:pPr>
        <w:pStyle w:val="NoSpacing"/>
        <w:rPr>
          <w:rFonts w:cs="Arial"/>
          <w:szCs w:val="24"/>
        </w:rPr>
      </w:pPr>
      <w:r w:rsidRPr="00DF3E89">
        <w:rPr>
          <w:rFonts w:cs="Arial"/>
          <w:sz w:val="22"/>
        </w:rPr>
        <w:tab/>
      </w:r>
      <w:r w:rsidR="00BE4A2E">
        <w:rPr>
          <w:rFonts w:cs="Arial"/>
          <w:szCs w:val="24"/>
        </w:rPr>
        <w:t xml:space="preserve">FREEPOST 1H 2076, </w:t>
      </w:r>
    </w:p>
    <w:p w:rsidR="00BE4A2E" w:rsidRDefault="00BE4A2E" w:rsidP="00BE4A2E">
      <w:pPr>
        <w:pStyle w:val="NoSpacing"/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Norwich </w:t>
      </w:r>
    </w:p>
    <w:p w:rsidR="00E310D5" w:rsidRDefault="007C3C11" w:rsidP="00BE4A2E">
      <w:pPr>
        <w:pStyle w:val="NoSpacing"/>
        <w:ind w:firstLine="720"/>
        <w:rPr>
          <w:rFonts w:cs="Arial"/>
          <w:szCs w:val="24"/>
        </w:rPr>
      </w:pPr>
      <w:r>
        <w:rPr>
          <w:rFonts w:cs="Arial"/>
          <w:szCs w:val="24"/>
        </w:rPr>
        <w:t>N</w:t>
      </w:r>
      <w:bookmarkStart w:id="0" w:name="_GoBack"/>
      <w:bookmarkEnd w:id="0"/>
      <w:r w:rsidR="00BE4A2E">
        <w:rPr>
          <w:rFonts w:cs="Arial"/>
          <w:szCs w:val="24"/>
        </w:rPr>
        <w:t>R1 2BR</w:t>
      </w:r>
    </w:p>
    <w:p w:rsidR="00BE4A2E" w:rsidRPr="00DF3E89" w:rsidRDefault="00BE4A2E" w:rsidP="00BE4A2E">
      <w:pPr>
        <w:pStyle w:val="NoSpacing"/>
        <w:rPr>
          <w:rFonts w:cs="Arial"/>
          <w:sz w:val="22"/>
        </w:rPr>
      </w:pPr>
    </w:p>
    <w:p w:rsidR="00E310D5" w:rsidRPr="00DF3E89" w:rsidRDefault="00E310D5" w:rsidP="00E310D5">
      <w:pPr>
        <w:pStyle w:val="NoSpacing"/>
        <w:rPr>
          <w:rFonts w:cs="Arial"/>
          <w:sz w:val="22"/>
        </w:rPr>
      </w:pPr>
      <w:r w:rsidRPr="00DF3E89">
        <w:rPr>
          <w:rFonts w:cs="Arial"/>
          <w:sz w:val="22"/>
        </w:rPr>
        <w:t xml:space="preserve">Or email: </w:t>
      </w:r>
      <w:r w:rsidRPr="00DF3E89">
        <w:rPr>
          <w:rFonts w:cs="Arial"/>
          <w:sz w:val="22"/>
        </w:rPr>
        <w:tab/>
      </w:r>
      <w:hyperlink r:id="rId7" w:history="1">
        <w:r w:rsidRPr="00DF3E89">
          <w:rPr>
            <w:rStyle w:val="Hyperlink"/>
            <w:rFonts w:cs="Arial"/>
            <w:color w:val="auto"/>
            <w:sz w:val="22"/>
          </w:rPr>
          <w:t>water.management@norfolk.gov.uk</w:t>
        </w:r>
      </w:hyperlink>
    </w:p>
    <w:p w:rsidR="00E310D5" w:rsidRPr="00DF3E89" w:rsidRDefault="00E310D5" w:rsidP="00E310D5">
      <w:pPr>
        <w:pStyle w:val="NoSpacing"/>
        <w:rPr>
          <w:sz w:val="22"/>
        </w:rPr>
      </w:pPr>
    </w:p>
    <w:p w:rsidR="00E310D5" w:rsidRDefault="00E310D5" w:rsidP="00E310D5">
      <w:pPr>
        <w:shd w:val="solid" w:color="FFFFFF" w:fill="FFFFFF"/>
        <w:rPr>
          <w:rFonts w:cs="Arial"/>
          <w:b/>
          <w:sz w:val="22"/>
        </w:rPr>
      </w:pPr>
      <w:r w:rsidRPr="00DF3E89">
        <w:rPr>
          <w:rFonts w:cs="Arial"/>
          <w:b/>
          <w:sz w:val="22"/>
        </w:rPr>
        <w:t>Please return the form before the consultation closing date of 25 May 2015.</w:t>
      </w:r>
    </w:p>
    <w:p w:rsidR="00E310D5" w:rsidRPr="00DF3E89" w:rsidRDefault="002D13AB" w:rsidP="00DC0A09">
      <w:pPr>
        <w:shd w:val="solid" w:color="FFFFFF" w:fill="FFFFFF"/>
        <w:rPr>
          <w:rFonts w:cs="Arial"/>
          <w:b/>
          <w:sz w:val="22"/>
        </w:rPr>
      </w:pPr>
      <w:r>
        <w:rPr>
          <w:rFonts w:cs="Arial"/>
          <w:b/>
          <w:sz w:val="22"/>
        </w:rPr>
        <w:t>News Updates: Twitter: @</w:t>
      </w:r>
      <w:proofErr w:type="spellStart"/>
      <w:r>
        <w:rPr>
          <w:rFonts w:cs="Arial"/>
          <w:b/>
          <w:sz w:val="22"/>
        </w:rPr>
        <w:t>NorfolkFlooding</w:t>
      </w:r>
      <w:proofErr w:type="spellEnd"/>
      <w:r>
        <w:rPr>
          <w:rFonts w:cs="Arial"/>
          <w:b/>
          <w:sz w:val="22"/>
        </w:rPr>
        <w:t xml:space="preserve">    Facebook.com/</w:t>
      </w:r>
      <w:proofErr w:type="spellStart"/>
      <w:r>
        <w:rPr>
          <w:rFonts w:cs="Arial"/>
          <w:b/>
          <w:sz w:val="22"/>
        </w:rPr>
        <w:t>NorfolkFlooding</w:t>
      </w:r>
      <w:proofErr w:type="spellEnd"/>
      <w:r>
        <w:rPr>
          <w:rFonts w:cs="Arial"/>
          <w:b/>
          <w:sz w:val="22"/>
        </w:rPr>
        <w:t xml:space="preserve"> </w:t>
      </w:r>
    </w:p>
    <w:sectPr w:rsidR="00E310D5" w:rsidRPr="00DF3E89" w:rsidSect="00DF3E89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1BD"/>
    <w:multiLevelType w:val="hybridMultilevel"/>
    <w:tmpl w:val="3508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5962"/>
    <w:multiLevelType w:val="hybridMultilevel"/>
    <w:tmpl w:val="A19663A0"/>
    <w:lvl w:ilvl="0" w:tplc="3F86483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3A43A3"/>
    <w:multiLevelType w:val="hybridMultilevel"/>
    <w:tmpl w:val="18F4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D5789"/>
    <w:multiLevelType w:val="hybridMultilevel"/>
    <w:tmpl w:val="D4E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33B23"/>
    <w:multiLevelType w:val="hybridMultilevel"/>
    <w:tmpl w:val="DB6A19E4"/>
    <w:lvl w:ilvl="0" w:tplc="3F86483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92F94"/>
    <w:multiLevelType w:val="hybridMultilevel"/>
    <w:tmpl w:val="0280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9C"/>
    <w:rsid w:val="00044247"/>
    <w:rsid w:val="000B3967"/>
    <w:rsid w:val="000D0A31"/>
    <w:rsid w:val="000F74F4"/>
    <w:rsid w:val="00253D5D"/>
    <w:rsid w:val="0027718F"/>
    <w:rsid w:val="002B1D29"/>
    <w:rsid w:val="002C3812"/>
    <w:rsid w:val="002D13AB"/>
    <w:rsid w:val="003657D0"/>
    <w:rsid w:val="00407E56"/>
    <w:rsid w:val="007C3C11"/>
    <w:rsid w:val="00860651"/>
    <w:rsid w:val="00B56D6E"/>
    <w:rsid w:val="00BB63C6"/>
    <w:rsid w:val="00BE4A2E"/>
    <w:rsid w:val="00C375E0"/>
    <w:rsid w:val="00DC0A09"/>
    <w:rsid w:val="00DF3E89"/>
    <w:rsid w:val="00E310D5"/>
    <w:rsid w:val="00E367AF"/>
    <w:rsid w:val="00ED1714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9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3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367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247"/>
    <w:pPr>
      <w:ind w:left="720"/>
      <w:contextualSpacing/>
    </w:pPr>
  </w:style>
  <w:style w:type="paragraph" w:customStyle="1" w:styleId="AgencyStdParagraph">
    <w:name w:val="Agency Std Paragraph"/>
    <w:autoRedefine/>
    <w:rsid w:val="000D0A31"/>
    <w:pPr>
      <w:spacing w:after="0"/>
      <w:jc w:val="center"/>
    </w:pPr>
    <w:rPr>
      <w:rFonts w:eastAsia="Times New Roman" w:cs="Arial"/>
      <w:b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9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3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367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247"/>
    <w:pPr>
      <w:ind w:left="720"/>
      <w:contextualSpacing/>
    </w:pPr>
  </w:style>
  <w:style w:type="paragraph" w:customStyle="1" w:styleId="AgencyStdParagraph">
    <w:name w:val="Agency Std Paragraph"/>
    <w:autoRedefine/>
    <w:rsid w:val="000D0A31"/>
    <w:pPr>
      <w:spacing w:after="0"/>
      <w:jc w:val="center"/>
    </w:pPr>
    <w:rPr>
      <w:rFonts w:eastAsia="Times New Roman" w:cs="Arial"/>
      <w:b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ter.management@nor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Graham</dc:creator>
  <cp:lastModifiedBy>Slack, Jason</cp:lastModifiedBy>
  <cp:revision>9</cp:revision>
  <cp:lastPrinted>2015-04-28T14:53:00Z</cp:lastPrinted>
  <dcterms:created xsi:type="dcterms:W3CDTF">2015-04-10T15:16:00Z</dcterms:created>
  <dcterms:modified xsi:type="dcterms:W3CDTF">2015-04-28T14:57:00Z</dcterms:modified>
</cp:coreProperties>
</file>